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1993" w14:textId="3416E57D" w:rsidR="00E91062" w:rsidRPr="00B80D1E" w:rsidRDefault="00B80D1E" w:rsidP="00B80D1E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26153422"/>
      <w:bookmarkEnd w:id="0"/>
      <w:r w:rsidRPr="00B80D1E">
        <w:rPr>
          <w:rFonts w:ascii="Arial" w:hAnsi="Arial" w:cs="Arial"/>
          <w:b/>
          <w:bCs/>
        </w:rPr>
        <w:t>Food Assistance Advisory Committee Meeting</w:t>
      </w:r>
    </w:p>
    <w:p w14:paraId="6CC281D0" w14:textId="6B5316D5" w:rsidR="00B80D1E" w:rsidRDefault="00B80D1E" w:rsidP="00B80D1E">
      <w:pPr>
        <w:spacing w:line="240" w:lineRule="auto"/>
        <w:jc w:val="center"/>
        <w:rPr>
          <w:rFonts w:ascii="Arial" w:hAnsi="Arial" w:cs="Arial"/>
          <w:b/>
          <w:bCs/>
        </w:rPr>
      </w:pPr>
      <w:r w:rsidRPr="00B80D1E">
        <w:rPr>
          <w:rFonts w:ascii="Arial" w:hAnsi="Arial" w:cs="Arial"/>
          <w:b/>
          <w:bCs/>
        </w:rPr>
        <w:t>January 17, 2023</w:t>
      </w:r>
    </w:p>
    <w:p w14:paraId="78D76DD1" w14:textId="6301D03B" w:rsidR="00B80D1E" w:rsidRDefault="00B80D1E" w:rsidP="00B80D1E">
      <w:pPr>
        <w:spacing w:line="240" w:lineRule="auto"/>
        <w:rPr>
          <w:rFonts w:ascii="Arial" w:hAnsi="Arial" w:cs="Arial"/>
        </w:rPr>
      </w:pPr>
      <w:r w:rsidRPr="00617E07">
        <w:rPr>
          <w:rFonts w:ascii="Arial" w:hAnsi="Arial" w:cs="Arial"/>
        </w:rPr>
        <w:t>Michelle Douglas, Chair, asked tho</w:t>
      </w:r>
      <w:r>
        <w:rPr>
          <w:rFonts w:ascii="Arial" w:hAnsi="Arial" w:cs="Arial"/>
        </w:rPr>
        <w:t>se on call to introduce themselves and their organization.</w:t>
      </w:r>
    </w:p>
    <w:p w14:paraId="4196D431" w14:textId="343B4553" w:rsidR="00B80D1E" w:rsidRDefault="00B80D1E" w:rsidP="00B80D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DE13FF">
        <w:rPr>
          <w:rFonts w:ascii="Arial" w:hAnsi="Arial" w:cs="Arial"/>
          <w:b/>
          <w:bCs/>
          <w:u w:val="single"/>
        </w:rPr>
        <w:t>Present:</w:t>
      </w:r>
    </w:p>
    <w:p w14:paraId="5D333F1B" w14:textId="58067776" w:rsidR="00281D14" w:rsidRDefault="00B80D1E" w:rsidP="00281D14">
      <w:pPr>
        <w:pStyle w:val="ListParagraph"/>
        <w:spacing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Trish Twomey, WFC; Michelle Douglas, EFN; Ken Trainor, SOC; David Uhl, Feeding Washington; Mallorie Shellmer, WSDA Food Assistance; Taelor Nguyen, WSDA Food Assistance; Rick Lewis, The COVE; josh martinez, Future Emergent; Kim Eads, WSDA Food Assistance; Rachel Bishop, Upper Valley Mend; Rebecca </w:t>
      </w:r>
      <w:r w:rsidR="00C35492">
        <w:rPr>
          <w:rFonts w:ascii="Arial" w:hAnsi="Arial" w:cs="Arial"/>
        </w:rPr>
        <w:t xml:space="preserve">Schlaht, Helping Hands; </w:t>
      </w:r>
      <w:r w:rsidR="00272A2C">
        <w:rPr>
          <w:rFonts w:ascii="Arial" w:hAnsi="Arial" w:cs="Arial"/>
        </w:rPr>
        <w:t xml:space="preserve">Jen Muzia, Ballard </w:t>
      </w:r>
      <w:r w:rsidR="00884166">
        <w:rPr>
          <w:rFonts w:ascii="Arial" w:hAnsi="Arial" w:cs="Arial"/>
        </w:rPr>
        <w:t>Food Bank</w:t>
      </w:r>
      <w:r w:rsidR="00272A2C">
        <w:rPr>
          <w:rFonts w:ascii="Arial" w:hAnsi="Arial" w:cs="Arial"/>
        </w:rPr>
        <w:t xml:space="preserve">; Heidi Cobun, WSDA Food Assistance ; Fran Yeatts, West </w:t>
      </w:r>
      <w:r w:rsidR="00F15DA2">
        <w:rPr>
          <w:rFonts w:ascii="Arial" w:hAnsi="Arial" w:cs="Arial"/>
        </w:rPr>
        <w:t>Seattle</w:t>
      </w:r>
      <w:r w:rsidR="00915CB2">
        <w:rPr>
          <w:rFonts w:ascii="Arial" w:hAnsi="Arial" w:cs="Arial"/>
        </w:rPr>
        <w:t>; Lindsey Robinson, WSDA Food Assistance; Tom Garstki, SVDP Longview; Sam C</w:t>
      </w:r>
      <w:r w:rsidR="00884166">
        <w:rPr>
          <w:rFonts w:ascii="Arial" w:hAnsi="Arial" w:cs="Arial"/>
        </w:rPr>
        <w:t>ook</w:t>
      </w:r>
      <w:r w:rsidR="00915CB2">
        <w:rPr>
          <w:rFonts w:ascii="Arial" w:hAnsi="Arial" w:cs="Arial"/>
        </w:rPr>
        <w:t xml:space="preserve">, EFN; Patrick Merscher, WSDA Food Assistance; Kyle Merslich; WSDA Food Assistance; Andra Smith, Sequim Food </w:t>
      </w:r>
      <w:r w:rsidR="00915CB2" w:rsidRPr="000C4DA9">
        <w:rPr>
          <w:rFonts w:ascii="Arial" w:hAnsi="Arial" w:cs="Arial"/>
        </w:rPr>
        <w:t>Bank</w:t>
      </w:r>
      <w:r w:rsidR="00915CB2">
        <w:rPr>
          <w:rFonts w:ascii="Arial" w:hAnsi="Arial" w:cs="Arial"/>
        </w:rPr>
        <w:t xml:space="preserve">; Erik Mora, </w:t>
      </w:r>
      <w:r w:rsidR="00884166">
        <w:rPr>
          <w:rFonts w:ascii="Arial" w:hAnsi="Arial" w:cs="Arial"/>
        </w:rPr>
        <w:t>BMAC</w:t>
      </w:r>
      <w:r w:rsidR="00915CB2">
        <w:rPr>
          <w:rFonts w:ascii="Arial" w:hAnsi="Arial" w:cs="Arial"/>
        </w:rPr>
        <w:t>; Mikel</w:t>
      </w:r>
      <w:r w:rsidR="000C4DA9">
        <w:rPr>
          <w:rFonts w:ascii="Arial" w:hAnsi="Arial" w:cs="Arial"/>
        </w:rPr>
        <w:t xml:space="preserve"> Priddy</w:t>
      </w:r>
      <w:r w:rsidR="00915CB2">
        <w:rPr>
          <w:rFonts w:ascii="Arial" w:hAnsi="Arial" w:cs="Arial"/>
        </w:rPr>
        <w:t xml:space="preserve">, EFN; Jody Stoltz, Tenino Community </w:t>
      </w:r>
      <w:r w:rsidR="000C4DA9">
        <w:rPr>
          <w:rFonts w:ascii="Arial" w:hAnsi="Arial" w:cs="Arial"/>
        </w:rPr>
        <w:t>Service Center</w:t>
      </w:r>
      <w:r w:rsidR="00915CB2">
        <w:rPr>
          <w:rFonts w:ascii="Arial" w:hAnsi="Arial" w:cs="Arial"/>
        </w:rPr>
        <w:t xml:space="preserve">; </w:t>
      </w:r>
      <w:r w:rsidR="00F15DA2">
        <w:rPr>
          <w:rFonts w:ascii="Arial" w:hAnsi="Arial" w:cs="Arial"/>
        </w:rPr>
        <w:t>Isaac</w:t>
      </w:r>
      <w:r w:rsidR="00915CB2">
        <w:rPr>
          <w:rFonts w:ascii="Arial" w:hAnsi="Arial" w:cs="Arial"/>
        </w:rPr>
        <w:t xml:space="preserve"> </w:t>
      </w:r>
      <w:r w:rsidR="00884166">
        <w:rPr>
          <w:rFonts w:ascii="Arial" w:hAnsi="Arial" w:cs="Arial"/>
        </w:rPr>
        <w:t>McKenzie Sullivan</w:t>
      </w:r>
      <w:r w:rsidR="00915CB2">
        <w:rPr>
          <w:rFonts w:ascii="Arial" w:hAnsi="Arial" w:cs="Arial"/>
        </w:rPr>
        <w:t>, TCFB; Stacey Crnich, Bonney Lake Food Bank</w:t>
      </w:r>
      <w:r w:rsidR="00A63E95">
        <w:rPr>
          <w:rFonts w:ascii="Arial" w:hAnsi="Arial" w:cs="Arial"/>
        </w:rPr>
        <w:t>; Brent Derocher</w:t>
      </w:r>
      <w:r w:rsidR="000C4DA9">
        <w:rPr>
          <w:rFonts w:ascii="Arial" w:hAnsi="Arial" w:cs="Arial"/>
        </w:rPr>
        <w:t xml:space="preserve"> &amp; Kieran Collins, Clark County Food Bank</w:t>
      </w:r>
      <w:r w:rsidR="00A63E95">
        <w:rPr>
          <w:rFonts w:ascii="Arial" w:hAnsi="Arial" w:cs="Arial"/>
        </w:rPr>
        <w:t>; Kate Ortiz, Public Health Se</w:t>
      </w:r>
      <w:r w:rsidR="00884166">
        <w:rPr>
          <w:rFonts w:ascii="Arial" w:hAnsi="Arial" w:cs="Arial"/>
        </w:rPr>
        <w:t>attle &amp; King County</w:t>
      </w:r>
      <w:r w:rsidR="00A63E95">
        <w:rPr>
          <w:rFonts w:ascii="Arial" w:hAnsi="Arial" w:cs="Arial"/>
        </w:rPr>
        <w:t>; Missy Belles, Whatcom Community</w:t>
      </w:r>
      <w:r w:rsidR="00884166">
        <w:rPr>
          <w:rFonts w:ascii="Arial" w:hAnsi="Arial" w:cs="Arial"/>
        </w:rPr>
        <w:t xml:space="preserve"> Foundation</w:t>
      </w:r>
      <w:r w:rsidR="00A63E95">
        <w:rPr>
          <w:rFonts w:ascii="Arial" w:hAnsi="Arial" w:cs="Arial"/>
        </w:rPr>
        <w:t xml:space="preserve">; Amelia </w:t>
      </w:r>
      <w:r w:rsidR="00884166">
        <w:rPr>
          <w:rFonts w:ascii="Arial" w:hAnsi="Arial" w:cs="Arial"/>
        </w:rPr>
        <w:t>Calhoun</w:t>
      </w:r>
      <w:r w:rsidR="00A63E95">
        <w:rPr>
          <w:rFonts w:ascii="Arial" w:hAnsi="Arial" w:cs="Arial"/>
        </w:rPr>
        <w:t xml:space="preserve">, Feeding Washington; Felicia Kolhage, SVDP Bremerton; Linda Rapozo, EFN; Paige Collins, COAHS Colfax; Jennifer Milnes, </w:t>
      </w:r>
      <w:r w:rsidR="00F15DA2">
        <w:rPr>
          <w:rFonts w:ascii="Arial" w:hAnsi="Arial" w:cs="Arial"/>
        </w:rPr>
        <w:t>2</w:t>
      </w:r>
      <w:r w:rsidR="00F15DA2" w:rsidRPr="00F15DA2">
        <w:rPr>
          <w:rFonts w:ascii="Arial" w:hAnsi="Arial" w:cs="Arial"/>
          <w:vertAlign w:val="superscript"/>
        </w:rPr>
        <w:t>nd</w:t>
      </w:r>
      <w:r w:rsidR="00F15DA2">
        <w:rPr>
          <w:rFonts w:ascii="Arial" w:hAnsi="Arial" w:cs="Arial"/>
        </w:rPr>
        <w:t xml:space="preserve"> Harvest</w:t>
      </w:r>
      <w:r w:rsidR="00A63E95">
        <w:rPr>
          <w:rFonts w:ascii="Arial" w:hAnsi="Arial" w:cs="Arial"/>
        </w:rPr>
        <w:t xml:space="preserve">; Mike Cohen, Bellingham Food Bank; Brent Hunter, </w:t>
      </w:r>
      <w:r w:rsidR="00884166">
        <w:rPr>
          <w:rFonts w:ascii="Arial" w:hAnsi="Arial" w:cs="Arial"/>
        </w:rPr>
        <w:t>Coastal Harvest</w:t>
      </w:r>
      <w:r w:rsidR="00A63E95">
        <w:rPr>
          <w:rFonts w:ascii="Arial" w:hAnsi="Arial" w:cs="Arial"/>
        </w:rPr>
        <w:t xml:space="preserve">; Timothy Eisbree, </w:t>
      </w:r>
      <w:r w:rsidR="00884166">
        <w:rPr>
          <w:rFonts w:ascii="Arial" w:hAnsi="Arial" w:cs="Arial"/>
        </w:rPr>
        <w:t>The Salvation Army</w:t>
      </w:r>
      <w:r w:rsidR="00A63E95">
        <w:rPr>
          <w:rFonts w:ascii="Arial" w:hAnsi="Arial" w:cs="Arial"/>
        </w:rPr>
        <w:t>; Anna Berrey, WSDA Food Assistance, Emily H</w:t>
      </w:r>
      <w:r w:rsidR="00884166">
        <w:rPr>
          <w:rFonts w:ascii="Arial" w:hAnsi="Arial" w:cs="Arial"/>
        </w:rPr>
        <w:t>eemstra</w:t>
      </w:r>
      <w:r w:rsidR="00A63E95">
        <w:rPr>
          <w:rFonts w:ascii="Arial" w:hAnsi="Arial" w:cs="Arial"/>
        </w:rPr>
        <w:t>,</w:t>
      </w:r>
      <w:r w:rsidR="00884166">
        <w:rPr>
          <w:rFonts w:ascii="Arial" w:hAnsi="Arial" w:cs="Arial"/>
        </w:rPr>
        <w:t xml:space="preserve"> Solid Ground</w:t>
      </w:r>
      <w:r w:rsidR="00A63E95">
        <w:rPr>
          <w:rFonts w:ascii="Arial" w:hAnsi="Arial" w:cs="Arial"/>
        </w:rPr>
        <w:t xml:space="preserve">; Erin Kester, WSDA Food Assistance; Barb Shimizu, South King </w:t>
      </w:r>
      <w:r w:rsidR="00281D14">
        <w:rPr>
          <w:rFonts w:ascii="Arial" w:hAnsi="Arial" w:cs="Arial"/>
        </w:rPr>
        <w:t>County Food Coalition</w:t>
      </w:r>
      <w:r w:rsidR="00A63E95">
        <w:rPr>
          <w:rFonts w:ascii="Arial" w:hAnsi="Arial" w:cs="Arial"/>
        </w:rPr>
        <w:t xml:space="preserve">; Emily Straw, </w:t>
      </w:r>
      <w:r w:rsidR="00884166">
        <w:rPr>
          <w:rFonts w:ascii="Arial" w:hAnsi="Arial" w:cs="Arial"/>
        </w:rPr>
        <w:t>Clark County Food Bank</w:t>
      </w:r>
      <w:r w:rsidR="00A63E95">
        <w:rPr>
          <w:rFonts w:ascii="Arial" w:hAnsi="Arial" w:cs="Arial"/>
        </w:rPr>
        <w:t xml:space="preserve">; Nikki Lloyd, </w:t>
      </w:r>
      <w:r w:rsidR="00281D14">
        <w:rPr>
          <w:rFonts w:ascii="Arial" w:hAnsi="Arial" w:cs="Arial"/>
        </w:rPr>
        <w:t>Snoqualmie Valley Food Bank</w:t>
      </w:r>
      <w:r w:rsidR="00A63E95">
        <w:rPr>
          <w:rFonts w:ascii="Arial" w:hAnsi="Arial" w:cs="Arial"/>
        </w:rPr>
        <w:t xml:space="preserve">; Bob Mark, Upper Valley Mend; Terra Hegge, </w:t>
      </w:r>
      <w:r w:rsidR="00281D14">
        <w:rPr>
          <w:rFonts w:ascii="Arial" w:hAnsi="Arial" w:cs="Arial"/>
        </w:rPr>
        <w:t>TCFB</w:t>
      </w:r>
      <w:r w:rsidR="00A63E95">
        <w:rPr>
          <w:rFonts w:ascii="Arial" w:hAnsi="Arial" w:cs="Arial"/>
        </w:rPr>
        <w:t>; Aja Bridge, RRCA; Deborah Ornellas, WSDA Food Assistance; Kayla Jacobson;</w:t>
      </w:r>
      <w:r w:rsidR="000C4DA9">
        <w:rPr>
          <w:rFonts w:ascii="Arial" w:hAnsi="Arial" w:cs="Arial"/>
        </w:rPr>
        <w:t xml:space="preserve"> Deborah Demps, Paradise of Praise Food Bank; </w:t>
      </w:r>
      <w:r w:rsidR="00884166">
        <w:rPr>
          <w:rFonts w:ascii="Arial" w:hAnsi="Arial" w:cs="Arial"/>
        </w:rPr>
        <w:t xml:space="preserve">Lisa Blaine, Lower Columbia CAP; Patti Nichols, WGAP; </w:t>
      </w:r>
    </w:p>
    <w:p w14:paraId="0F84F19F" w14:textId="77777777" w:rsidR="00281D14" w:rsidRPr="00281D14" w:rsidRDefault="00281D14" w:rsidP="00281D14">
      <w:pPr>
        <w:pStyle w:val="ListParagraph"/>
        <w:spacing w:line="240" w:lineRule="auto"/>
        <w:ind w:left="540"/>
        <w:rPr>
          <w:rFonts w:ascii="Arial" w:hAnsi="Arial" w:cs="Arial"/>
        </w:rPr>
      </w:pPr>
    </w:p>
    <w:p w14:paraId="68DFAF2C" w14:textId="044995FE" w:rsidR="00281D14" w:rsidRDefault="00281D14" w:rsidP="00281D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530EF0">
        <w:rPr>
          <w:rFonts w:ascii="Arial" w:hAnsi="Arial" w:cs="Arial"/>
          <w:b/>
          <w:bCs/>
        </w:rPr>
        <w:t>Approval of minutes</w:t>
      </w:r>
    </w:p>
    <w:p w14:paraId="68502797" w14:textId="7FB8780E" w:rsidR="00281D14" w:rsidRPr="00530EF0" w:rsidRDefault="00281D14" w:rsidP="00281D14">
      <w:pPr>
        <w:pStyle w:val="ListParagraph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December 6, </w:t>
      </w:r>
      <w:r w:rsidR="00F15DA2">
        <w:rPr>
          <w:rFonts w:ascii="Arial" w:hAnsi="Arial" w:cs="Arial"/>
        </w:rPr>
        <w:t>2022,</w:t>
      </w:r>
      <w:r>
        <w:rPr>
          <w:rFonts w:ascii="Arial" w:hAnsi="Arial" w:cs="Arial"/>
        </w:rPr>
        <w:t xml:space="preserve"> meeting minutes</w:t>
      </w:r>
    </w:p>
    <w:p w14:paraId="660BA851" w14:textId="7B97FD77" w:rsidR="00281D14" w:rsidRPr="00530EF0" w:rsidRDefault="00281D14" w:rsidP="00281D14">
      <w:pPr>
        <w:pStyle w:val="ListParagraph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Ken Trainor</w:t>
      </w:r>
      <w:r w:rsidRPr="00530EF0">
        <w:rPr>
          <w:rFonts w:ascii="Arial" w:hAnsi="Arial" w:cs="Arial"/>
          <w:b/>
          <w:bCs/>
          <w:i/>
          <w:iCs/>
        </w:rPr>
        <w:t xml:space="preserve"> moved that the minutes be approved. </w:t>
      </w:r>
      <w:r>
        <w:rPr>
          <w:rFonts w:ascii="Arial" w:hAnsi="Arial" w:cs="Arial"/>
          <w:b/>
          <w:bCs/>
          <w:i/>
          <w:iCs/>
        </w:rPr>
        <w:t>David Uhl</w:t>
      </w:r>
      <w:r w:rsidRPr="00530EF0">
        <w:rPr>
          <w:rFonts w:ascii="Arial" w:hAnsi="Arial" w:cs="Arial"/>
          <w:b/>
          <w:bCs/>
          <w:i/>
          <w:iCs/>
        </w:rPr>
        <w:t xml:space="preserve"> second the motion. </w:t>
      </w:r>
    </w:p>
    <w:p w14:paraId="4085D240" w14:textId="253884C1" w:rsidR="00281D14" w:rsidRPr="00B80D1E" w:rsidRDefault="00281D14" w:rsidP="00B80D1E">
      <w:pPr>
        <w:pStyle w:val="ListParagraph"/>
        <w:spacing w:after="0" w:line="240" w:lineRule="auto"/>
        <w:ind w:left="540"/>
        <w:rPr>
          <w:rFonts w:ascii="Arial" w:hAnsi="Arial" w:cs="Arial"/>
        </w:rPr>
      </w:pPr>
    </w:p>
    <w:p w14:paraId="45D65D3E" w14:textId="77777777" w:rsidR="003569B2" w:rsidRPr="003569B2" w:rsidRDefault="003569B2" w:rsidP="003569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Client In-take Subcommittee Updates – </w:t>
      </w:r>
      <w:r w:rsidRPr="003569B2">
        <w:rPr>
          <w:rFonts w:ascii="Arial" w:hAnsi="Arial" w:cs="Arial"/>
        </w:rPr>
        <w:t>Trish Twomey and Mallorie Shellmer</w:t>
      </w:r>
      <w:r>
        <w:rPr>
          <w:rFonts w:ascii="Arial" w:hAnsi="Arial" w:cs="Arial"/>
        </w:rPr>
        <w:t xml:space="preserve"> </w:t>
      </w:r>
    </w:p>
    <w:p w14:paraId="0D07975E" w14:textId="75A42448" w:rsidR="003569B2" w:rsidRDefault="00F15DA2" w:rsidP="003569B2">
      <w:pPr>
        <w:pStyle w:val="ListParagraph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 survey regarding EFAP data collection was sent out to EFAP contractors and subcontractors on </w:t>
      </w:r>
      <w:r w:rsidR="007E1C3C">
        <w:rPr>
          <w:rFonts w:ascii="Arial" w:hAnsi="Arial" w:cs="Arial"/>
        </w:rPr>
        <w:t>January 3, 2023</w:t>
      </w:r>
      <w:r>
        <w:rPr>
          <w:rFonts w:ascii="Arial" w:hAnsi="Arial" w:cs="Arial"/>
        </w:rPr>
        <w:t xml:space="preserve">.  </w:t>
      </w:r>
      <w:r w:rsidR="003569B2">
        <w:rPr>
          <w:rFonts w:ascii="Arial" w:hAnsi="Arial" w:cs="Arial"/>
        </w:rPr>
        <w:t>As of this m</w:t>
      </w:r>
      <w:r w:rsidR="007E1C3C">
        <w:rPr>
          <w:rFonts w:ascii="Arial" w:hAnsi="Arial" w:cs="Arial"/>
        </w:rPr>
        <w:t>eeting</w:t>
      </w:r>
      <w:r w:rsidR="00285424">
        <w:rPr>
          <w:rFonts w:ascii="Arial" w:hAnsi="Arial" w:cs="Arial"/>
        </w:rPr>
        <w:t>,</w:t>
      </w:r>
      <w:r w:rsidR="003569B2">
        <w:rPr>
          <w:rFonts w:ascii="Arial" w:hAnsi="Arial" w:cs="Arial"/>
        </w:rPr>
        <w:t xml:space="preserve"> there have been 112 surveys submitted. The next step is to compile all the data collected</w:t>
      </w:r>
      <w:r>
        <w:rPr>
          <w:rFonts w:ascii="Arial" w:hAnsi="Arial" w:cs="Arial"/>
        </w:rPr>
        <w:t xml:space="preserve"> and share results with WSDA and this committee</w:t>
      </w:r>
      <w:r w:rsidR="003569B2">
        <w:rPr>
          <w:rFonts w:ascii="Arial" w:hAnsi="Arial" w:cs="Arial"/>
        </w:rPr>
        <w:t>.</w:t>
      </w:r>
    </w:p>
    <w:p w14:paraId="33AFDA67" w14:textId="77777777" w:rsidR="003569B2" w:rsidRPr="003569B2" w:rsidRDefault="003569B2" w:rsidP="003569B2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</w:rPr>
      </w:pPr>
    </w:p>
    <w:p w14:paraId="3790FB1A" w14:textId="6126F8A6" w:rsidR="00D06B47" w:rsidRPr="00D06B47" w:rsidRDefault="003569B2" w:rsidP="003569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Emergency Food Assistance Program Recommendations – </w:t>
      </w:r>
      <w:r>
        <w:rPr>
          <w:rFonts w:ascii="Arial" w:hAnsi="Arial" w:cs="Arial"/>
        </w:rPr>
        <w:t xml:space="preserve">josh </w:t>
      </w:r>
      <w:r w:rsidR="007E1C3C">
        <w:rPr>
          <w:rFonts w:ascii="Arial" w:hAnsi="Arial" w:cs="Arial"/>
        </w:rPr>
        <w:t>m</w:t>
      </w:r>
      <w:r>
        <w:rPr>
          <w:rFonts w:ascii="Arial" w:hAnsi="Arial" w:cs="Arial"/>
        </w:rPr>
        <w:t>artinez</w:t>
      </w:r>
    </w:p>
    <w:p w14:paraId="46123BE3" w14:textId="0CD73040" w:rsidR="003569B2" w:rsidRDefault="00E718CC" w:rsidP="003569B2">
      <w:pPr>
        <w:pStyle w:val="ListParagraph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josh martinez, with his company Future Emergent,</w:t>
      </w:r>
      <w:r w:rsidR="003569B2">
        <w:rPr>
          <w:rFonts w:ascii="Arial" w:hAnsi="Arial" w:cs="Arial"/>
        </w:rPr>
        <w:t xml:space="preserve"> was hired </w:t>
      </w:r>
      <w:r w:rsidR="00FF4CFF">
        <w:rPr>
          <w:rFonts w:ascii="Arial" w:hAnsi="Arial" w:cs="Arial"/>
        </w:rPr>
        <w:t xml:space="preserve">by WSDA </w:t>
      </w:r>
      <w:r w:rsidR="003569B2">
        <w:rPr>
          <w:rFonts w:ascii="Arial" w:hAnsi="Arial" w:cs="Arial"/>
        </w:rPr>
        <w:t xml:space="preserve">to take a deep dive into EFAP and discover what </w:t>
      </w:r>
      <w:r w:rsidR="00907AAE">
        <w:rPr>
          <w:rFonts w:ascii="Arial" w:hAnsi="Arial" w:cs="Arial"/>
        </w:rPr>
        <w:t xml:space="preserve">improvements can be made to make it an </w:t>
      </w:r>
      <w:r>
        <w:rPr>
          <w:rFonts w:ascii="Arial" w:hAnsi="Arial" w:cs="Arial"/>
        </w:rPr>
        <w:t>all-around</w:t>
      </w:r>
      <w:r w:rsidR="00907AAE">
        <w:rPr>
          <w:rFonts w:ascii="Arial" w:hAnsi="Arial" w:cs="Arial"/>
        </w:rPr>
        <w:t xml:space="preserve"> more equitable program.</w:t>
      </w:r>
      <w:r>
        <w:rPr>
          <w:rFonts w:ascii="Arial" w:hAnsi="Arial" w:cs="Arial"/>
        </w:rPr>
        <w:t xml:space="preserve"> This is important because</w:t>
      </w:r>
      <w:r w:rsidR="00FD5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FD5A91">
        <w:rPr>
          <w:rFonts w:ascii="Arial" w:hAnsi="Arial" w:cs="Arial"/>
        </w:rPr>
        <w:t xml:space="preserve">ood insecurity levels keep increasing, and there are still stigmas around using foodbanks. josh has met with approximately 20 </w:t>
      </w:r>
      <w:r w:rsidR="00FF4CFF">
        <w:rPr>
          <w:rFonts w:ascii="Arial" w:hAnsi="Arial" w:cs="Arial"/>
        </w:rPr>
        <w:t xml:space="preserve">EFAP Contractors </w:t>
      </w:r>
      <w:r w:rsidR="00FD5A91">
        <w:rPr>
          <w:rFonts w:ascii="Arial" w:hAnsi="Arial" w:cs="Arial"/>
        </w:rPr>
        <w:t>within the network, with plans to meet with more, to compile a current state of EFAP</w:t>
      </w:r>
      <w:r>
        <w:rPr>
          <w:rFonts w:ascii="Arial" w:hAnsi="Arial" w:cs="Arial"/>
        </w:rPr>
        <w:t>.</w:t>
      </w:r>
    </w:p>
    <w:p w14:paraId="2E970BEC" w14:textId="1F7D0B1B" w:rsidR="00E21AC7" w:rsidRDefault="00FD5A91" w:rsidP="00E21AC7">
      <w:r>
        <w:rPr>
          <w:noProof/>
        </w:rPr>
        <w:lastRenderedPageBreak/>
        <w:drawing>
          <wp:inline distT="0" distB="0" distL="0" distR="0" wp14:anchorId="4D1CCBB3" wp14:editId="12AB69CD">
            <wp:extent cx="2327910" cy="2639336"/>
            <wp:effectExtent l="0" t="0" r="0" b="889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114" cy="266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21AC7">
        <w:rPr>
          <w:noProof/>
        </w:rPr>
        <w:drawing>
          <wp:inline distT="0" distB="0" distL="0" distR="0" wp14:anchorId="71F65E0E" wp14:editId="7DE7E02F">
            <wp:extent cx="3545394" cy="2667000"/>
            <wp:effectExtent l="0" t="0" r="0" b="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768" cy="274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5572" w14:textId="3736E862" w:rsidR="00E21AC7" w:rsidRPr="00C2498F" w:rsidRDefault="00E718CC" w:rsidP="00E718CC">
      <w:pPr>
        <w:rPr>
          <w:rFonts w:ascii="Arial" w:hAnsi="Arial" w:cs="Arial"/>
          <w:b/>
          <w:bCs/>
        </w:rPr>
      </w:pPr>
      <w:r w:rsidRPr="00C2498F">
        <w:rPr>
          <w:rFonts w:ascii="Arial" w:hAnsi="Arial" w:cs="Arial"/>
          <w:b/>
          <w:bCs/>
        </w:rPr>
        <w:t>Current State – Likes and Pain Points</w:t>
      </w:r>
    </w:p>
    <w:p w14:paraId="507DC30E" w14:textId="2388BF9E" w:rsidR="00E718CC" w:rsidRPr="00285424" w:rsidRDefault="00E718CC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What People like:</w:t>
      </w:r>
    </w:p>
    <w:p w14:paraId="502BD854" w14:textId="4CEE1EBB" w:rsidR="00E718CC" w:rsidRPr="00E718CC" w:rsidRDefault="00E718CC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18CC">
        <w:rPr>
          <w:rFonts w:ascii="Arial" w:hAnsi="Arial" w:cs="Arial"/>
        </w:rPr>
        <w:t>EFAP is flexible in comparison to other programs – All food-banking related expenses are acceptable.</w:t>
      </w:r>
    </w:p>
    <w:p w14:paraId="03FE3FB9" w14:textId="5491F327" w:rsidR="00E718CC" w:rsidRPr="00E718CC" w:rsidRDefault="00E718CC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18CC">
        <w:rPr>
          <w:rFonts w:ascii="Arial" w:hAnsi="Arial" w:cs="Arial"/>
        </w:rPr>
        <w:t>EFAP is like having “emergency savings” – Contractors hold funding and reimburse expenses from subcontractors.</w:t>
      </w:r>
    </w:p>
    <w:p w14:paraId="794FE715" w14:textId="762408E2" w:rsidR="00E718CC" w:rsidRDefault="00E718CC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718CC">
        <w:rPr>
          <w:rFonts w:ascii="Arial" w:hAnsi="Arial" w:cs="Arial"/>
        </w:rPr>
        <w:t>Spring meetings are a great time to connect – Subcontractors across the region can gather and plan together for the coming biennium.</w:t>
      </w:r>
    </w:p>
    <w:p w14:paraId="5F75B478" w14:textId="2F02C623" w:rsidR="00E718CC" w:rsidRPr="00285424" w:rsidRDefault="00E718CC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Pain Points</w:t>
      </w:r>
    </w:p>
    <w:p w14:paraId="1877E7B0" w14:textId="07DE57D0" w:rsidR="00E718CC" w:rsidRDefault="00E718CC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Changing food systems – New ways of distributing food</w:t>
      </w:r>
      <w:r w:rsidR="002D0F00">
        <w:rPr>
          <w:rFonts w:ascii="Arial" w:hAnsi="Arial" w:cs="Arial"/>
        </w:rPr>
        <w:t>, increased food insecurity rates, outdated approaches to service.</w:t>
      </w:r>
    </w:p>
    <w:p w14:paraId="77DB6FB2" w14:textId="0BD06866" w:rsidR="002D0F00" w:rsidRDefault="002D0F00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Variations among contract regions – Each region has different expectations for how to administer EFAP and meet community needs.</w:t>
      </w:r>
    </w:p>
    <w:p w14:paraId="5541D1CB" w14:textId="65580603" w:rsidR="002D0F00" w:rsidRDefault="002D0F00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Competition among food pantries – Allocations with limited EFAP dollars can get contentious.</w:t>
      </w:r>
    </w:p>
    <w:p w14:paraId="7CEB9ED1" w14:textId="1C5D9763" w:rsidR="002D0F00" w:rsidRDefault="002D0F00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Turnover among staff – New contractors, subcontractors, and organizations disrupts institutional knowledge.</w:t>
      </w:r>
    </w:p>
    <w:p w14:paraId="053FDE3A" w14:textId="29D63E45" w:rsidR="002D0F00" w:rsidRDefault="002D0F00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Inconsistent data – Every region, food bank, or pantry may collect data slightly different.</w:t>
      </w:r>
    </w:p>
    <w:p w14:paraId="1B1FB63C" w14:textId="08441EB8" w:rsidR="002D0F00" w:rsidRPr="00E718CC" w:rsidRDefault="002D0F00" w:rsidP="002854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Entrenched power systems – organizations with large budgets or long histories maintain the status quo.</w:t>
      </w:r>
    </w:p>
    <w:p w14:paraId="1C9CFB89" w14:textId="63AAE629" w:rsidR="00E21AC7" w:rsidRPr="002D0F00" w:rsidRDefault="00E21AC7" w:rsidP="002D0F00">
      <w:pPr>
        <w:rPr>
          <w:b/>
          <w:bCs/>
        </w:rPr>
      </w:pPr>
      <w:r w:rsidRPr="00C2498F">
        <w:rPr>
          <w:rFonts w:ascii="Arial" w:hAnsi="Arial" w:cs="Arial"/>
          <w:b/>
          <w:bCs/>
        </w:rPr>
        <w:t xml:space="preserve">Recommendations </w:t>
      </w:r>
      <w:r w:rsidRPr="002D0F00">
        <w:rPr>
          <w:b/>
          <w:bCs/>
        </w:rPr>
        <w:t xml:space="preserve"> </w:t>
      </w:r>
    </w:p>
    <w:p w14:paraId="3842D39C" w14:textId="4ABBD311" w:rsidR="002D0F00" w:rsidRPr="00285424" w:rsidRDefault="00721BEE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Values</w:t>
      </w:r>
      <w:r w:rsidR="00113071" w:rsidRPr="00285424">
        <w:rPr>
          <w:rFonts w:ascii="Arial" w:hAnsi="Arial" w:cs="Arial"/>
        </w:rPr>
        <w:t>:</w:t>
      </w:r>
      <w:r w:rsidRPr="00285424">
        <w:rPr>
          <w:rFonts w:ascii="Arial" w:hAnsi="Arial" w:cs="Arial"/>
        </w:rPr>
        <w:t xml:space="preserve"> </w:t>
      </w:r>
    </w:p>
    <w:p w14:paraId="34E1CE01" w14:textId="1BECBE54" w:rsidR="002D0F00" w:rsidRPr="002D0F00" w:rsidRDefault="002D0F00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F00">
        <w:rPr>
          <w:rFonts w:ascii="Arial" w:hAnsi="Arial" w:cs="Arial"/>
          <w:u w:val="single"/>
        </w:rPr>
        <w:t>For the 23-25 Biennium</w:t>
      </w:r>
      <w:r w:rsidRPr="002D0F00">
        <w:rPr>
          <w:rFonts w:ascii="Arial" w:hAnsi="Arial" w:cs="Arial"/>
        </w:rPr>
        <w:t xml:space="preserve"> – Food needs to be addressed as a human right</w:t>
      </w:r>
      <w:r w:rsidR="00EF54D2">
        <w:rPr>
          <w:rFonts w:ascii="Arial" w:hAnsi="Arial" w:cs="Arial"/>
        </w:rPr>
        <w:t>;</w:t>
      </w:r>
      <w:r w:rsidRPr="002D0F00">
        <w:rPr>
          <w:rFonts w:ascii="Arial" w:hAnsi="Arial" w:cs="Arial"/>
        </w:rPr>
        <w:t xml:space="preserve"> We need to</w:t>
      </w:r>
      <w:r w:rsidR="00721BEE" w:rsidRPr="002D0F00">
        <w:rPr>
          <w:rFonts w:ascii="Arial" w:hAnsi="Arial" w:cs="Arial"/>
        </w:rPr>
        <w:t xml:space="preserve"> </w:t>
      </w:r>
      <w:r w:rsidR="00EF54D2">
        <w:rPr>
          <w:rFonts w:ascii="Arial" w:hAnsi="Arial" w:cs="Arial"/>
        </w:rPr>
        <w:t xml:space="preserve">talk </w:t>
      </w:r>
      <w:r w:rsidR="00721BEE" w:rsidRPr="002D0F00">
        <w:rPr>
          <w:rFonts w:ascii="Arial" w:hAnsi="Arial" w:cs="Arial"/>
        </w:rPr>
        <w:t xml:space="preserve">about how </w:t>
      </w:r>
      <w:r w:rsidR="00EF54D2">
        <w:rPr>
          <w:rFonts w:ascii="Arial" w:hAnsi="Arial" w:cs="Arial"/>
        </w:rPr>
        <w:t>much</w:t>
      </w:r>
      <w:r w:rsidR="00721BEE" w:rsidRPr="002D0F00">
        <w:rPr>
          <w:rFonts w:ascii="Arial" w:hAnsi="Arial" w:cs="Arial"/>
        </w:rPr>
        <w:t xml:space="preserve"> food system</w:t>
      </w:r>
      <w:r w:rsidR="00EF54D2">
        <w:rPr>
          <w:rFonts w:ascii="Arial" w:hAnsi="Arial" w:cs="Arial"/>
        </w:rPr>
        <w:t>s</w:t>
      </w:r>
      <w:r w:rsidR="00721BEE" w:rsidRPr="002D0F00">
        <w:rPr>
          <w:rFonts w:ascii="Arial" w:hAnsi="Arial" w:cs="Arial"/>
        </w:rPr>
        <w:t xml:space="preserve"> ha</w:t>
      </w:r>
      <w:r w:rsidR="00EF54D2">
        <w:rPr>
          <w:rFonts w:ascii="Arial" w:hAnsi="Arial" w:cs="Arial"/>
        </w:rPr>
        <w:t>ve</w:t>
      </w:r>
      <w:r w:rsidR="00721BEE" w:rsidRPr="002D0F00">
        <w:rPr>
          <w:rFonts w:ascii="Arial" w:hAnsi="Arial" w:cs="Arial"/>
        </w:rPr>
        <w:t xml:space="preserve"> changed</w:t>
      </w:r>
      <w:r w:rsidR="00EF54D2">
        <w:rPr>
          <w:rFonts w:ascii="Arial" w:hAnsi="Arial" w:cs="Arial"/>
        </w:rPr>
        <w:t>;</w:t>
      </w:r>
      <w:r w:rsidR="00721BEE" w:rsidRPr="002D0F00">
        <w:rPr>
          <w:rFonts w:ascii="Arial" w:hAnsi="Arial" w:cs="Arial"/>
        </w:rPr>
        <w:t xml:space="preserve"> </w:t>
      </w:r>
      <w:r w:rsidR="00EF54D2">
        <w:rPr>
          <w:rFonts w:ascii="Arial" w:hAnsi="Arial" w:cs="Arial"/>
        </w:rPr>
        <w:t>Who are the people that don’t feel covered by our services? Why is that? Ensure fair and nondiscriminatory access to all hunger relief organizations in Washington State.</w:t>
      </w:r>
    </w:p>
    <w:p w14:paraId="1DAF31BD" w14:textId="5F4E0C79" w:rsidR="00EF54D2" w:rsidRDefault="00EF54D2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54D2">
        <w:rPr>
          <w:rFonts w:ascii="Arial" w:hAnsi="Arial" w:cs="Arial"/>
          <w:u w:val="single"/>
        </w:rPr>
        <w:lastRenderedPageBreak/>
        <w:t>For the Next Biennium</w:t>
      </w:r>
      <w:r>
        <w:rPr>
          <w:rFonts w:ascii="Arial" w:hAnsi="Arial" w:cs="Arial"/>
        </w:rPr>
        <w:t xml:space="preserve"> – </w:t>
      </w:r>
      <w:r w:rsidR="00721BEE" w:rsidRPr="00EF54D2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</w:t>
      </w:r>
      <w:r w:rsidR="00721BEE" w:rsidRPr="002D0F00">
        <w:rPr>
          <w:rFonts w:ascii="Arial" w:hAnsi="Arial" w:cs="Arial"/>
        </w:rPr>
        <w:t>service expectations for all EFAP recipients</w:t>
      </w:r>
      <w:r>
        <w:rPr>
          <w:rFonts w:ascii="Arial" w:hAnsi="Arial" w:cs="Arial"/>
        </w:rPr>
        <w:t>;</w:t>
      </w:r>
      <w:r w:rsidR="00721BEE" w:rsidRPr="002D0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 food assistance to include new models and approaches.</w:t>
      </w:r>
    </w:p>
    <w:p w14:paraId="38555364" w14:textId="09243496" w:rsidR="00113071" w:rsidRDefault="00EF54D2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54D2">
        <w:rPr>
          <w:rFonts w:ascii="Arial" w:hAnsi="Arial" w:cs="Arial"/>
          <w:u w:val="single"/>
        </w:rPr>
        <w:t>Long-term Actions</w:t>
      </w:r>
      <w:r>
        <w:rPr>
          <w:rFonts w:ascii="Arial" w:hAnsi="Arial" w:cs="Arial"/>
        </w:rPr>
        <w:t xml:space="preserve"> – Engage with community members on an ongoing basis; </w:t>
      </w:r>
      <w:r w:rsidR="00721BEE" w:rsidRPr="00EF54D2">
        <w:rPr>
          <w:rFonts w:ascii="Arial" w:hAnsi="Arial" w:cs="Arial"/>
        </w:rPr>
        <w:t>Signage</w:t>
      </w:r>
      <w:r>
        <w:rPr>
          <w:rFonts w:ascii="Arial" w:hAnsi="Arial" w:cs="Arial"/>
        </w:rPr>
        <w:t xml:space="preserve"> </w:t>
      </w:r>
      <w:r w:rsidR="00721BEE" w:rsidRPr="002D0F00">
        <w:rPr>
          <w:rFonts w:ascii="Arial" w:hAnsi="Arial" w:cs="Arial"/>
        </w:rPr>
        <w:t>for all languages in the community</w:t>
      </w:r>
      <w:r>
        <w:rPr>
          <w:rFonts w:ascii="Arial" w:hAnsi="Arial" w:cs="Arial"/>
        </w:rPr>
        <w:t>;</w:t>
      </w:r>
      <w:r w:rsidR="00721BEE" w:rsidRPr="002D0F00">
        <w:rPr>
          <w:rFonts w:ascii="Arial" w:hAnsi="Arial" w:cs="Arial"/>
        </w:rPr>
        <w:t xml:space="preserve"> Engaging with community members in a new way</w:t>
      </w:r>
      <w:r>
        <w:rPr>
          <w:rFonts w:ascii="Arial" w:hAnsi="Arial" w:cs="Arial"/>
        </w:rPr>
        <w:t xml:space="preserve">; Shift our approaches away from a charity model towards a social justice model; Think about food insecurity in our community. How are (or aren’t) people getting their needs met? How do we know? </w:t>
      </w:r>
    </w:p>
    <w:p w14:paraId="4590A206" w14:textId="77777777" w:rsidR="00113071" w:rsidRPr="00285424" w:rsidRDefault="00113071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Funding:</w:t>
      </w:r>
    </w:p>
    <w:p w14:paraId="25F16A6D" w14:textId="32AD5368" w:rsidR="00721BEE" w:rsidRDefault="00113071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23-</w:t>
      </w:r>
      <w:r w:rsidRPr="00C2498F">
        <w:rPr>
          <w:rFonts w:ascii="Arial" w:hAnsi="Arial" w:cs="Arial"/>
          <w:u w:val="single"/>
        </w:rPr>
        <w:t>25 Biennium</w:t>
      </w:r>
      <w:r>
        <w:rPr>
          <w:rFonts w:ascii="Arial" w:hAnsi="Arial" w:cs="Arial"/>
        </w:rPr>
        <w:t xml:space="preserve"> </w:t>
      </w:r>
      <w:r w:rsidR="00C2498F">
        <w:rPr>
          <w:rFonts w:ascii="Arial" w:hAnsi="Arial" w:cs="Arial"/>
        </w:rPr>
        <w:t>– Offer incentives to programs that expand community access, decrease food insecurity, or remove stigma from food banking; Standardize new/returning data collection across the state.</w:t>
      </w:r>
    </w:p>
    <w:p w14:paraId="48D67B2C" w14:textId="29CAA697" w:rsidR="00C2498F" w:rsidRDefault="00C2498F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98F">
        <w:rPr>
          <w:rFonts w:ascii="Arial" w:hAnsi="Arial" w:cs="Arial"/>
          <w:u w:val="single"/>
        </w:rPr>
        <w:t xml:space="preserve">For the Next Biennium </w:t>
      </w:r>
      <w:r w:rsidRPr="00C2498F">
        <w:rPr>
          <w:rFonts w:ascii="Arial" w:hAnsi="Arial" w:cs="Arial"/>
        </w:rPr>
        <w:t>– Clarify the purpose of EFAP funding; Shift funding away from organizations that do not meet the needs of their community.</w:t>
      </w:r>
    </w:p>
    <w:p w14:paraId="5E65A733" w14:textId="626CC809" w:rsidR="00C2498F" w:rsidRDefault="00C2498F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Long-term Actions</w:t>
      </w:r>
      <w:r>
        <w:rPr>
          <w:rFonts w:ascii="Arial" w:hAnsi="Arial" w:cs="Arial"/>
        </w:rPr>
        <w:t xml:space="preserve"> – Consider the impacts of expanding our service areas to the entire state; Organize all community-facing food assistance and simplify how we fund our programs.</w:t>
      </w:r>
    </w:p>
    <w:p w14:paraId="0242D9B0" w14:textId="453D03C2" w:rsidR="00C2498F" w:rsidRPr="00285424" w:rsidRDefault="00C2498F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Contracts:</w:t>
      </w:r>
    </w:p>
    <w:p w14:paraId="50C615AC" w14:textId="68A6BE69" w:rsidR="00C2498F" w:rsidRDefault="00C2498F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23-25 Biennium</w:t>
      </w:r>
      <w:r>
        <w:rPr>
          <w:rFonts w:ascii="Arial" w:hAnsi="Arial" w:cs="Arial"/>
        </w:rPr>
        <w:t xml:space="preserve"> – Standardize terminology; Update service areas to include county “and surrounding areas” for all Washington residents.</w:t>
      </w:r>
    </w:p>
    <w:p w14:paraId="5FE39F34" w14:textId="57C96D52" w:rsidR="00C2498F" w:rsidRDefault="00C2498F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Next Biennium</w:t>
      </w:r>
      <w:r>
        <w:rPr>
          <w:rFonts w:ascii="Arial" w:hAnsi="Arial" w:cs="Arial"/>
        </w:rPr>
        <w:t xml:space="preserve"> – Set minimum expectations for EFAP funding; Reduce the collection of personal information as much as possible, make all programs self-attesting; Update audit process to include accessibility, nondiscrimination, and community engagement questions.</w:t>
      </w:r>
    </w:p>
    <w:p w14:paraId="6573C9E3" w14:textId="573DEE4E" w:rsidR="00C2498F" w:rsidRDefault="00C2498F" w:rsidP="002854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Long</w:t>
      </w:r>
      <w:r w:rsidRPr="00C2498F">
        <w:rPr>
          <w:rFonts w:ascii="Arial" w:hAnsi="Arial" w:cs="Arial"/>
          <w:u w:val="single"/>
        </w:rPr>
        <w:t>-term Actions</w:t>
      </w:r>
      <w:r>
        <w:rPr>
          <w:rFonts w:ascii="Arial" w:hAnsi="Arial" w:cs="Arial"/>
        </w:rPr>
        <w:t xml:space="preserve"> – Write EFAP contracts in plain language; Rewrite sections that are unclear to readers.</w:t>
      </w:r>
    </w:p>
    <w:p w14:paraId="7DEC18D3" w14:textId="2F730D45" w:rsidR="00C2498F" w:rsidRDefault="00C2498F" w:rsidP="00285424">
      <w:pPr>
        <w:rPr>
          <w:rFonts w:ascii="Arial" w:hAnsi="Arial" w:cs="Arial"/>
        </w:rPr>
      </w:pPr>
      <w:r w:rsidRPr="00285424">
        <w:rPr>
          <w:rFonts w:ascii="Arial" w:hAnsi="Arial" w:cs="Arial"/>
        </w:rPr>
        <w:t>Spring Meetings:</w:t>
      </w:r>
    </w:p>
    <w:p w14:paraId="6BD0EE8C" w14:textId="41F0EB8D" w:rsidR="00285424" w:rsidRDefault="00285424" w:rsidP="002854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23-25 Biennium</w:t>
      </w:r>
      <w:r>
        <w:rPr>
          <w:rFonts w:ascii="Arial" w:hAnsi="Arial" w:cs="Arial"/>
        </w:rPr>
        <w:t xml:space="preserve"> – Clearly define service duplication statewide, collect hours/days open for all EFAP agencies; Create a Spring Meeting template with all required information; Set expectations for EFAP applications presentations.</w:t>
      </w:r>
    </w:p>
    <w:p w14:paraId="52896813" w14:textId="772697C9" w:rsidR="00285424" w:rsidRDefault="00285424" w:rsidP="002854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Next Biennium</w:t>
      </w:r>
      <w:r>
        <w:rPr>
          <w:rFonts w:ascii="Arial" w:hAnsi="Arial" w:cs="Arial"/>
        </w:rPr>
        <w:t xml:space="preserve"> – Create a statewide list of EFAP-eligible hunger relief organizations; Expand voting memberships beyond subcontractors; Create templates for possible allocations models, request a narrative for how/why the region allocated funding the way they did.</w:t>
      </w:r>
    </w:p>
    <w:p w14:paraId="1E99DF40" w14:textId="4F530694" w:rsidR="00285424" w:rsidRPr="00285424" w:rsidRDefault="00285424" w:rsidP="002854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Long</w:t>
      </w:r>
      <w:r w:rsidRPr="00285424">
        <w:rPr>
          <w:rFonts w:ascii="Arial" w:hAnsi="Arial" w:cs="Arial"/>
          <w:u w:val="single"/>
        </w:rPr>
        <w:t>-term Actions</w:t>
      </w:r>
      <w:r>
        <w:rPr>
          <w:rFonts w:ascii="Arial" w:hAnsi="Arial" w:cs="Arial"/>
        </w:rPr>
        <w:t xml:space="preserve"> – Conduct visioning and strategy sessions with all EFAP recipients in a region. What could food assistance look like in the future?</w:t>
      </w:r>
    </w:p>
    <w:p w14:paraId="5CD165C6" w14:textId="6CE3EE4F" w:rsidR="00C2498F" w:rsidRDefault="00285424" w:rsidP="00285424">
      <w:pPr>
        <w:rPr>
          <w:rFonts w:ascii="Arial" w:hAnsi="Arial" w:cs="Arial"/>
        </w:rPr>
      </w:pPr>
      <w:r>
        <w:rPr>
          <w:rFonts w:ascii="Arial" w:hAnsi="Arial" w:cs="Arial"/>
        </w:rPr>
        <w:t>Training:</w:t>
      </w:r>
    </w:p>
    <w:p w14:paraId="7F3A3F69" w14:textId="1F97D8E8" w:rsidR="00285424" w:rsidRDefault="00285424" w:rsidP="002854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23-25 Biennium</w:t>
      </w:r>
      <w:r>
        <w:rPr>
          <w:rFonts w:ascii="Arial" w:hAnsi="Arial" w:cs="Arial"/>
        </w:rPr>
        <w:t xml:space="preserve"> – Offer trainings for all EFAP subcontractors, contractors and distributors, and interested parties; Create executive summaries for change to EFAP contract since last biennium.</w:t>
      </w:r>
    </w:p>
    <w:p w14:paraId="1F68F24F" w14:textId="15C68E1C" w:rsidR="00285424" w:rsidRDefault="00285424" w:rsidP="002854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the Next Biennium</w:t>
      </w:r>
      <w:r w:rsidR="002B5958">
        <w:rPr>
          <w:rFonts w:ascii="Arial" w:hAnsi="Arial" w:cs="Arial"/>
        </w:rPr>
        <w:t xml:space="preserve"> – Provide sample scripts and trainings for volunteers and staff to use the new messaging.</w:t>
      </w:r>
    </w:p>
    <w:p w14:paraId="0FD57C0B" w14:textId="766FE8CD" w:rsidR="00D06B47" w:rsidRDefault="002B5958" w:rsidP="00D06B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Long-term Actions</w:t>
      </w:r>
      <w:r>
        <w:rPr>
          <w:rFonts w:ascii="Arial" w:hAnsi="Arial" w:cs="Arial"/>
        </w:rPr>
        <w:t xml:space="preserve"> – Think about how we can create or expand collaboration and sharing networks across the state; How can we invite new programs to join our efforts</w:t>
      </w:r>
      <w:r w:rsidR="00D06B47">
        <w:rPr>
          <w:rFonts w:ascii="Arial" w:hAnsi="Arial" w:cs="Arial"/>
        </w:rPr>
        <w:t>?</w:t>
      </w:r>
    </w:p>
    <w:p w14:paraId="3E42F5BC" w14:textId="77777777" w:rsidR="00D06B47" w:rsidRPr="00D06B47" w:rsidRDefault="00D06B47" w:rsidP="00D06B47">
      <w:pPr>
        <w:pStyle w:val="ListParagraph"/>
        <w:rPr>
          <w:rFonts w:ascii="Arial" w:hAnsi="Arial" w:cs="Arial"/>
        </w:rPr>
      </w:pPr>
    </w:p>
    <w:p w14:paraId="7074181F" w14:textId="5A48BFFA" w:rsidR="00D06B47" w:rsidRPr="00D06B47" w:rsidRDefault="00D06B47" w:rsidP="00D06B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Updates</w:t>
      </w:r>
      <w:r w:rsidRPr="00D06B47">
        <w:rPr>
          <w:rFonts w:ascii="Arial" w:hAnsi="Arial" w:cs="Arial"/>
          <w:b/>
          <w:bCs/>
        </w:rPr>
        <w:t xml:space="preserve"> </w:t>
      </w:r>
    </w:p>
    <w:p w14:paraId="33F9C7BE" w14:textId="77777777" w:rsidR="00D06B47" w:rsidRPr="00D06B47" w:rsidRDefault="00D06B47" w:rsidP="00D06B47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</w:rPr>
      </w:pPr>
    </w:p>
    <w:p w14:paraId="08CB211A" w14:textId="77777777" w:rsidR="00D06B47" w:rsidRPr="00D06B47" w:rsidRDefault="00577C22" w:rsidP="00D54942">
      <w:pPr>
        <w:rPr>
          <w:rFonts w:ascii="Arial" w:hAnsi="Arial" w:cs="Arial"/>
        </w:rPr>
      </w:pPr>
      <w:r w:rsidRPr="00D06B47">
        <w:rPr>
          <w:rFonts w:ascii="Arial" w:hAnsi="Arial" w:cs="Arial"/>
          <w:b/>
          <w:bCs/>
        </w:rPr>
        <w:t>Spring meetings</w:t>
      </w:r>
      <w:r w:rsidRPr="00D06B47">
        <w:rPr>
          <w:rFonts w:ascii="Arial" w:hAnsi="Arial" w:cs="Arial"/>
        </w:rPr>
        <w:t xml:space="preserve"> – </w:t>
      </w:r>
      <w:r w:rsidR="00D06B47" w:rsidRPr="00D06B47">
        <w:rPr>
          <w:rFonts w:ascii="Arial" w:hAnsi="Arial" w:cs="Arial"/>
        </w:rPr>
        <w:t>When are your spring meetings scheduled? Are you planning on a virtual or in person format?</w:t>
      </w:r>
    </w:p>
    <w:p w14:paraId="55322914" w14:textId="679D85AC" w:rsidR="00577C22" w:rsidRPr="00D06B47" w:rsidRDefault="00D06B47" w:rsidP="00D54942">
      <w:pPr>
        <w:rPr>
          <w:rFonts w:ascii="Arial" w:hAnsi="Arial" w:cs="Arial"/>
        </w:rPr>
      </w:pPr>
      <w:r w:rsidRPr="00D06B47">
        <w:rPr>
          <w:rFonts w:ascii="Arial" w:hAnsi="Arial" w:cs="Arial"/>
          <w:b/>
          <w:bCs/>
        </w:rPr>
        <w:t>WSDA Updates</w:t>
      </w:r>
      <w:r>
        <w:rPr>
          <w:rFonts w:ascii="Arial" w:hAnsi="Arial" w:cs="Arial"/>
        </w:rPr>
        <w:t xml:space="preserve"> – Kim Eads – The legislative session is coming up. Attached to these notes will be the legislative agenda. For questions about Food Assistance</w:t>
      </w:r>
      <w:r w:rsidR="00FF60D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legislation: </w:t>
      </w:r>
      <w:hyperlink r:id="rId8" w:history="1">
        <w:r w:rsidRPr="00874767">
          <w:rPr>
            <w:rStyle w:val="Hyperlink"/>
            <w:rFonts w:ascii="Arial" w:hAnsi="Arial" w:cs="Arial"/>
          </w:rPr>
          <w:t>keads@agr.wa.gov</w:t>
        </w:r>
      </w:hyperlink>
      <w:r>
        <w:rPr>
          <w:rFonts w:ascii="Arial" w:hAnsi="Arial" w:cs="Arial"/>
        </w:rPr>
        <w:t xml:space="preserve"> </w:t>
      </w:r>
    </w:p>
    <w:p w14:paraId="73288544" w14:textId="77777777" w:rsidR="00FF60D6" w:rsidRPr="000027F8" w:rsidRDefault="00FF60D6" w:rsidP="00FF60D6">
      <w:pPr>
        <w:tabs>
          <w:tab w:val="left" w:pos="1620"/>
        </w:tabs>
        <w:spacing w:after="0" w:line="240" w:lineRule="auto"/>
        <w:rPr>
          <w:rFonts w:ascii="Calibri" w:eastAsia="Times New Roman" w:hAnsi="Calibri" w:cs="Arial"/>
          <w:color w:val="000000"/>
          <w:kern w:val="28"/>
          <w:sz w:val="24"/>
          <w:szCs w:val="24"/>
        </w:rPr>
      </w:pPr>
      <w:r w:rsidRPr="000027F8"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>Good of the Order</w:t>
      </w:r>
      <w:r w:rsidRPr="000027F8"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:     </w:t>
      </w:r>
      <w:r w:rsidRPr="000027F8">
        <w:rPr>
          <w:rFonts w:ascii="Calibri" w:eastAsia="Times New Roman" w:hAnsi="Calibri" w:cs="Arial"/>
          <w:color w:val="000000"/>
          <w:kern w:val="28"/>
          <w:sz w:val="24"/>
          <w:szCs w:val="24"/>
        </w:rPr>
        <w:tab/>
      </w:r>
    </w:p>
    <w:p w14:paraId="748D6641" w14:textId="4AD4B345" w:rsidR="00FF60D6" w:rsidRPr="000027F8" w:rsidRDefault="00FF60D6" w:rsidP="00FF60D6">
      <w:pPr>
        <w:tabs>
          <w:tab w:val="left" w:pos="1620"/>
        </w:tabs>
        <w:spacing w:after="0" w:line="240" w:lineRule="auto"/>
        <w:ind w:left="1620"/>
        <w:rPr>
          <w:rFonts w:ascii="Calibri" w:eastAsia="Times New Roman" w:hAnsi="Calibri" w:cs="Arial"/>
          <w:i/>
          <w:iCs/>
          <w:color w:val="000000"/>
          <w:kern w:val="28"/>
          <w:sz w:val="24"/>
          <w:szCs w:val="24"/>
        </w:rPr>
      </w:pPr>
      <w:r w:rsidRPr="000027F8"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>Contractor Calls</w:t>
      </w:r>
      <w:r w:rsidRPr="000027F8"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>February 3</w:t>
      </w:r>
      <w:r w:rsidRPr="00FF60D6">
        <w:rPr>
          <w:rFonts w:ascii="Calibri" w:eastAsia="Times New Roman" w:hAnsi="Calibri" w:cs="Arial"/>
          <w:color w:val="000000"/>
          <w:kern w:val="28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@ 9:00 to 10:00 – TEFAP Contractors Only</w:t>
      </w:r>
    </w:p>
    <w:p w14:paraId="6F98C2D2" w14:textId="530ED310" w:rsidR="00FF60D6" w:rsidRPr="000027F8" w:rsidRDefault="00FF60D6" w:rsidP="00FF60D6">
      <w:pPr>
        <w:tabs>
          <w:tab w:val="left" w:pos="1620"/>
        </w:tabs>
        <w:spacing w:after="0" w:line="240" w:lineRule="auto"/>
        <w:ind w:left="1620"/>
        <w:rPr>
          <w:rFonts w:ascii="Calibri" w:eastAsia="Times New Roman" w:hAnsi="Calibri" w:cs="Arial"/>
          <w:color w:val="000000"/>
          <w:kern w:val="28"/>
          <w:sz w:val="24"/>
          <w:szCs w:val="24"/>
        </w:rPr>
      </w:pPr>
      <w:r w:rsidRPr="000027F8"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>General Focus Calls</w:t>
      </w:r>
      <w:r w:rsidRPr="000027F8"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>February 21</w:t>
      </w:r>
      <w:r w:rsidRPr="00FF60D6">
        <w:rPr>
          <w:rFonts w:ascii="Calibri" w:eastAsia="Times New Roman" w:hAnsi="Calibri" w:cs="Arial"/>
          <w:color w:val="000000"/>
          <w:kern w:val="28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@ 9:00 to 10:00</w:t>
      </w:r>
    </w:p>
    <w:p w14:paraId="5276F231" w14:textId="77777777" w:rsidR="00FF60D6" w:rsidRPr="000027F8" w:rsidRDefault="00FF60D6" w:rsidP="00FF60D6">
      <w:pPr>
        <w:tabs>
          <w:tab w:val="left" w:pos="1620"/>
        </w:tabs>
        <w:spacing w:after="0" w:line="240" w:lineRule="auto"/>
        <w:rPr>
          <w:rFonts w:ascii="Calibri" w:eastAsia="Times New Roman" w:hAnsi="Calibri" w:cs="Arial"/>
          <w:color w:val="000000"/>
          <w:kern w:val="28"/>
          <w:sz w:val="24"/>
          <w:szCs w:val="24"/>
        </w:rPr>
      </w:pPr>
      <w:r w:rsidRPr="000027F8"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ab/>
        <w:t>WFC Board Meeting</w:t>
      </w:r>
      <w:r w:rsidRPr="000027F8"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>January 26</w:t>
      </w:r>
      <w:r w:rsidRPr="00D27ECE">
        <w:rPr>
          <w:rFonts w:ascii="Calibri" w:eastAsia="Times New Roman" w:hAnsi="Calibri" w:cs="Arial"/>
          <w:color w:val="000000"/>
          <w:kern w:val="28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1-3:30 pm</w:t>
      </w:r>
    </w:p>
    <w:p w14:paraId="38361E0A" w14:textId="189AE4CF" w:rsidR="00FF60D6" w:rsidRPr="00FF60D6" w:rsidRDefault="00FF60D6" w:rsidP="00FF60D6">
      <w:pPr>
        <w:tabs>
          <w:tab w:val="left" w:pos="1620"/>
        </w:tabs>
        <w:spacing w:after="0" w:line="240" w:lineRule="auto"/>
        <w:rPr>
          <w:rFonts w:ascii="Calibri" w:eastAsia="Times New Roman" w:hAnsi="Calibri" w:cs="Arial"/>
          <w:color w:val="000000"/>
          <w:kern w:val="28"/>
          <w:sz w:val="24"/>
          <w:szCs w:val="24"/>
        </w:rPr>
      </w:pPr>
      <w:r w:rsidRPr="000027F8"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ab/>
        <w:t>Hunger Action Day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– February 7</w:t>
      </w:r>
      <w:r w:rsidRPr="00FF60D6">
        <w:rPr>
          <w:rFonts w:ascii="Calibri" w:eastAsia="Times New Roman" w:hAnsi="Calibri" w:cs="Arial"/>
          <w:color w:val="000000"/>
          <w:kern w:val="28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kern w:val="28"/>
          <w:sz w:val="24"/>
          <w:szCs w:val="24"/>
        </w:rPr>
        <w:t xml:space="preserve"> </w:t>
      </w:r>
    </w:p>
    <w:p w14:paraId="0F2B301D" w14:textId="09488E2D" w:rsidR="00FF60D6" w:rsidRPr="00F4662D" w:rsidRDefault="00FF60D6" w:rsidP="00FF60D6">
      <w:pPr>
        <w:tabs>
          <w:tab w:val="left" w:pos="1620"/>
        </w:tabs>
        <w:spacing w:after="0" w:line="240" w:lineRule="auto"/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kern w:val="28"/>
          <w:sz w:val="24"/>
          <w:szCs w:val="24"/>
        </w:rPr>
        <w:tab/>
      </w:r>
    </w:p>
    <w:p w14:paraId="1C9620A0" w14:textId="466E5E4F" w:rsidR="0041395F" w:rsidRDefault="0041395F" w:rsidP="0041395F"/>
    <w:p w14:paraId="1324E1C8" w14:textId="08F66A69" w:rsidR="0041395F" w:rsidRDefault="0041395F" w:rsidP="0041395F"/>
    <w:p w14:paraId="256BECD7" w14:textId="3F8317EF" w:rsidR="00B26E6F" w:rsidRDefault="00B26E6F" w:rsidP="0041395F"/>
    <w:sectPr w:rsidR="00B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6E3"/>
    <w:multiLevelType w:val="hybridMultilevel"/>
    <w:tmpl w:val="589E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9CA"/>
    <w:multiLevelType w:val="hybridMultilevel"/>
    <w:tmpl w:val="DB0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4658"/>
    <w:multiLevelType w:val="hybridMultilevel"/>
    <w:tmpl w:val="D91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3BE7"/>
    <w:multiLevelType w:val="hybridMultilevel"/>
    <w:tmpl w:val="B0622910"/>
    <w:lvl w:ilvl="0" w:tplc="716CC594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CF3632A"/>
    <w:multiLevelType w:val="hybridMultilevel"/>
    <w:tmpl w:val="2F5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42E8"/>
    <w:multiLevelType w:val="hybridMultilevel"/>
    <w:tmpl w:val="18B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72563">
    <w:abstractNumId w:val="2"/>
  </w:num>
  <w:num w:numId="2" w16cid:durableId="1193424785">
    <w:abstractNumId w:val="5"/>
  </w:num>
  <w:num w:numId="3" w16cid:durableId="2054233184">
    <w:abstractNumId w:val="3"/>
  </w:num>
  <w:num w:numId="4" w16cid:durableId="1302809611">
    <w:abstractNumId w:val="0"/>
  </w:num>
  <w:num w:numId="5" w16cid:durableId="1090589989">
    <w:abstractNumId w:val="4"/>
  </w:num>
  <w:num w:numId="6" w16cid:durableId="206491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5F"/>
    <w:rsid w:val="000C4DA9"/>
    <w:rsid w:val="000F3B63"/>
    <w:rsid w:val="00113071"/>
    <w:rsid w:val="001A00ED"/>
    <w:rsid w:val="00272A2C"/>
    <w:rsid w:val="00281D14"/>
    <w:rsid w:val="00285424"/>
    <w:rsid w:val="002B5958"/>
    <w:rsid w:val="002D0F00"/>
    <w:rsid w:val="003569B2"/>
    <w:rsid w:val="0041395F"/>
    <w:rsid w:val="005062EC"/>
    <w:rsid w:val="00577C22"/>
    <w:rsid w:val="00702973"/>
    <w:rsid w:val="00721BEE"/>
    <w:rsid w:val="007E1C3C"/>
    <w:rsid w:val="00884166"/>
    <w:rsid w:val="00907AAE"/>
    <w:rsid w:val="00915CB2"/>
    <w:rsid w:val="00927E73"/>
    <w:rsid w:val="00A63E95"/>
    <w:rsid w:val="00A86C1C"/>
    <w:rsid w:val="00B26E6F"/>
    <w:rsid w:val="00B80D1E"/>
    <w:rsid w:val="00BC3C99"/>
    <w:rsid w:val="00C2498F"/>
    <w:rsid w:val="00C35492"/>
    <w:rsid w:val="00D06B47"/>
    <w:rsid w:val="00D54942"/>
    <w:rsid w:val="00E21AC7"/>
    <w:rsid w:val="00E718CC"/>
    <w:rsid w:val="00E91062"/>
    <w:rsid w:val="00EF54D2"/>
    <w:rsid w:val="00F15DA2"/>
    <w:rsid w:val="00FA0873"/>
    <w:rsid w:val="00FD5A91"/>
    <w:rsid w:val="00FF4CFF"/>
    <w:rsid w:val="00FF60D6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340"/>
  <w15:chartTrackingRefBased/>
  <w15:docId w15:val="{819C69F6-68B0-4B5E-8B4D-B99E088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ds@agr.w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129A-C261-4E0A-97B5-6464335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Agriculture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Taelor (AGR)</dc:creator>
  <cp:keywords/>
  <dc:description/>
  <cp:lastModifiedBy>WFC Staff Admin</cp:lastModifiedBy>
  <cp:revision>8</cp:revision>
  <dcterms:created xsi:type="dcterms:W3CDTF">2023-01-17T20:28:00Z</dcterms:created>
  <dcterms:modified xsi:type="dcterms:W3CDTF">2023-03-29T22:27:00Z</dcterms:modified>
</cp:coreProperties>
</file>